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2A" w:rsidRPr="002B04F8" w:rsidRDefault="00FE4F9D" w:rsidP="00734C79">
      <w:pPr>
        <w:spacing w:after="0"/>
        <w:rPr>
          <w:rFonts w:ascii="Tahoma" w:hAnsi="Tahoma" w:cs="Tahoma"/>
          <w:sz w:val="24"/>
          <w:szCs w:val="24"/>
        </w:rPr>
      </w:pPr>
      <w:r w:rsidRPr="002B04F8">
        <w:rPr>
          <w:rFonts w:ascii="Tahoma" w:hAnsi="Tahoma" w:cs="Tahoma"/>
          <w:sz w:val="24"/>
          <w:szCs w:val="24"/>
        </w:rPr>
        <w:t>Authority:</w:t>
      </w:r>
      <w:r w:rsidR="0037772A" w:rsidRPr="002B04F8">
        <w:rPr>
          <w:rFonts w:ascii="Tahoma" w:hAnsi="Tahoma" w:cs="Tahoma"/>
          <w:sz w:val="24"/>
          <w:szCs w:val="24"/>
        </w:rPr>
        <w:tab/>
      </w:r>
      <w:r w:rsidR="006353CA">
        <w:rPr>
          <w:rFonts w:ascii="Tahoma" w:hAnsi="Tahoma" w:cs="Tahoma"/>
          <w:sz w:val="24"/>
          <w:szCs w:val="24"/>
        </w:rPr>
        <w:tab/>
      </w:r>
      <w:hyperlink r:id="rId7" w:history="1">
        <w:r w:rsidR="006353CA" w:rsidRPr="007E57A3">
          <w:rPr>
            <w:rStyle w:val="Hyperlink"/>
            <w:rFonts w:ascii="Tahoma" w:hAnsi="Tahoma" w:cs="Tahoma"/>
            <w:sz w:val="24"/>
            <w:szCs w:val="24"/>
          </w:rPr>
          <w:t>WAC 388.78A.2700</w:t>
        </w:r>
        <w:r w:rsidR="007E57A3" w:rsidRPr="007E57A3">
          <w:rPr>
            <w:rStyle w:val="Hyperlink"/>
            <w:rFonts w:ascii="Tahoma" w:hAnsi="Tahoma" w:cs="Tahoma"/>
            <w:sz w:val="24"/>
            <w:szCs w:val="24"/>
          </w:rPr>
          <w:t>, Safety measures and disaster preparedness</w:t>
        </w:r>
      </w:hyperlink>
      <w:r w:rsidR="0037772A" w:rsidRPr="002B04F8">
        <w:rPr>
          <w:rFonts w:ascii="Tahoma" w:hAnsi="Tahoma" w:cs="Tahoma"/>
          <w:sz w:val="24"/>
          <w:szCs w:val="24"/>
        </w:rPr>
        <w:tab/>
      </w:r>
    </w:p>
    <w:p w:rsidR="007E57A3" w:rsidRDefault="007E57A3">
      <w:pPr>
        <w:rPr>
          <w:rFonts w:ascii="Tahoma" w:hAnsi="Tahoma" w:cs="Tahoma"/>
          <w:b/>
          <w:sz w:val="24"/>
          <w:szCs w:val="24"/>
          <w:u w:val="single"/>
        </w:rPr>
      </w:pPr>
    </w:p>
    <w:p w:rsidR="00FE4F9D" w:rsidRDefault="00FE4F9D">
      <w:pPr>
        <w:rPr>
          <w:rFonts w:ascii="Tahoma" w:hAnsi="Tahoma" w:cs="Tahoma"/>
          <w:b/>
          <w:sz w:val="24"/>
          <w:szCs w:val="24"/>
          <w:u w:val="single"/>
        </w:rPr>
      </w:pPr>
      <w:r w:rsidRPr="002B04F8">
        <w:rPr>
          <w:rFonts w:ascii="Tahoma" w:hAnsi="Tahoma" w:cs="Tahoma"/>
          <w:b/>
          <w:sz w:val="24"/>
          <w:szCs w:val="24"/>
          <w:u w:val="single"/>
        </w:rPr>
        <w:t>PURPOSE:</w:t>
      </w:r>
    </w:p>
    <w:p w:rsidR="006353CA" w:rsidRPr="006353CA" w:rsidRDefault="006353CA">
      <w:pPr>
        <w:rPr>
          <w:rFonts w:ascii="Tahoma" w:hAnsi="Tahoma" w:cs="Tahoma"/>
          <w:sz w:val="24"/>
          <w:szCs w:val="24"/>
        </w:rPr>
      </w:pPr>
      <w:r>
        <w:rPr>
          <w:rFonts w:ascii="Tahoma" w:hAnsi="Tahoma" w:cs="Tahoma"/>
          <w:sz w:val="24"/>
          <w:szCs w:val="24"/>
        </w:rPr>
        <w:t>This policy provides the structure used during an emergency.</w:t>
      </w:r>
    </w:p>
    <w:p w:rsidR="00FE4F9D" w:rsidRPr="007E57A3" w:rsidRDefault="00FE4F9D">
      <w:pPr>
        <w:rPr>
          <w:rFonts w:ascii="Tahoma" w:hAnsi="Tahoma" w:cs="Tahoma"/>
          <w:sz w:val="24"/>
          <w:szCs w:val="24"/>
        </w:rPr>
      </w:pPr>
      <w:r w:rsidRPr="002B04F8">
        <w:rPr>
          <w:rFonts w:ascii="Tahoma" w:hAnsi="Tahoma" w:cs="Tahoma"/>
          <w:b/>
          <w:sz w:val="24"/>
          <w:szCs w:val="24"/>
          <w:u w:val="single"/>
        </w:rPr>
        <w:t>SCOPE:</w:t>
      </w:r>
      <w:r w:rsidRPr="002B04F8">
        <w:rPr>
          <w:rFonts w:ascii="Tahoma" w:hAnsi="Tahoma" w:cs="Tahoma"/>
          <w:b/>
          <w:sz w:val="24"/>
          <w:szCs w:val="24"/>
          <w:u w:val="single"/>
        </w:rPr>
        <w:br/>
      </w:r>
      <w:r w:rsidR="006353CA">
        <w:rPr>
          <w:rFonts w:ascii="Tahoma" w:hAnsi="Tahoma" w:cs="Tahoma"/>
          <w:sz w:val="24"/>
          <w:szCs w:val="24"/>
        </w:rPr>
        <w:t xml:space="preserve">This policy applies to all Trouves employees. </w:t>
      </w:r>
    </w:p>
    <w:p w:rsidR="00471D8E" w:rsidRPr="002B04F8" w:rsidRDefault="00FE4F9D" w:rsidP="00471D8E">
      <w:pPr>
        <w:suppressAutoHyphens/>
        <w:spacing w:after="0" w:line="240" w:lineRule="auto"/>
        <w:rPr>
          <w:rFonts w:ascii="Tahoma" w:hAnsi="Tahoma" w:cs="Tahoma"/>
          <w:sz w:val="24"/>
          <w:szCs w:val="24"/>
        </w:rPr>
      </w:pPr>
      <w:r w:rsidRPr="002B04F8">
        <w:rPr>
          <w:rFonts w:ascii="Tahoma" w:hAnsi="Tahoma" w:cs="Tahoma"/>
          <w:b/>
          <w:sz w:val="24"/>
          <w:szCs w:val="24"/>
          <w:u w:val="single"/>
        </w:rPr>
        <w:t>POLICY:</w:t>
      </w:r>
      <w:r w:rsidR="00AC499B" w:rsidRPr="002B04F8">
        <w:rPr>
          <w:rFonts w:ascii="Tahoma" w:hAnsi="Tahoma" w:cs="Tahoma"/>
          <w:sz w:val="24"/>
          <w:szCs w:val="24"/>
        </w:rPr>
        <w:t xml:space="preserve"> </w:t>
      </w:r>
    </w:p>
    <w:p w:rsidR="00471D8E" w:rsidRPr="002B04F8" w:rsidRDefault="00471D8E" w:rsidP="00471D8E">
      <w:pPr>
        <w:suppressAutoHyphens/>
        <w:spacing w:after="0" w:line="240" w:lineRule="auto"/>
        <w:rPr>
          <w:rFonts w:ascii="Tahoma" w:hAnsi="Tahoma" w:cs="Tahoma"/>
          <w:sz w:val="24"/>
          <w:szCs w:val="24"/>
        </w:rPr>
      </w:pPr>
    </w:p>
    <w:p w:rsidR="00AC499B" w:rsidRPr="002B04F8" w:rsidRDefault="00471D8E" w:rsidP="00471D8E">
      <w:pPr>
        <w:pStyle w:val="ListParagraph"/>
        <w:numPr>
          <w:ilvl w:val="0"/>
          <w:numId w:val="7"/>
        </w:numPr>
        <w:suppressAutoHyphens/>
        <w:spacing w:after="0" w:line="240" w:lineRule="auto"/>
        <w:rPr>
          <w:rFonts w:ascii="Tahoma" w:hAnsi="Tahoma" w:cs="Tahoma"/>
          <w:sz w:val="24"/>
          <w:szCs w:val="24"/>
        </w:rPr>
      </w:pPr>
      <w:r w:rsidRPr="002B04F8">
        <w:rPr>
          <w:rFonts w:ascii="Tahoma" w:hAnsi="Tahoma" w:cs="Tahoma"/>
          <w:sz w:val="24"/>
          <w:szCs w:val="24"/>
        </w:rPr>
        <w:t>Trouves</w:t>
      </w:r>
      <w:r w:rsidR="00AC499B" w:rsidRPr="002B04F8">
        <w:rPr>
          <w:rFonts w:ascii="Tahoma" w:hAnsi="Tahoma" w:cs="Tahoma"/>
          <w:sz w:val="24"/>
          <w:szCs w:val="24"/>
        </w:rPr>
        <w:t xml:space="preserve"> has established the Emergency Pre</w:t>
      </w:r>
      <w:r w:rsidRPr="002B04F8">
        <w:rPr>
          <w:rFonts w:ascii="Tahoma" w:hAnsi="Tahoma" w:cs="Tahoma"/>
          <w:sz w:val="24"/>
          <w:szCs w:val="24"/>
        </w:rPr>
        <w:t>paredness Program to maintain and</w:t>
      </w:r>
      <w:r w:rsidR="00AC499B" w:rsidRPr="002B04F8">
        <w:rPr>
          <w:rFonts w:ascii="Tahoma" w:hAnsi="Tahoma" w:cs="Tahoma"/>
          <w:sz w:val="24"/>
          <w:szCs w:val="24"/>
        </w:rPr>
        <w:t xml:space="preserve"> en</w:t>
      </w:r>
      <w:r w:rsidR="007E57A3">
        <w:rPr>
          <w:rFonts w:ascii="Tahoma" w:hAnsi="Tahoma" w:cs="Tahoma"/>
          <w:sz w:val="24"/>
          <w:szCs w:val="24"/>
        </w:rPr>
        <w:t>sure continuity of resident</w:t>
      </w:r>
      <w:r w:rsidRPr="002B04F8">
        <w:rPr>
          <w:rFonts w:ascii="Tahoma" w:hAnsi="Tahoma" w:cs="Tahoma"/>
          <w:sz w:val="24"/>
          <w:szCs w:val="24"/>
        </w:rPr>
        <w:t xml:space="preserve"> care during an emergency.</w:t>
      </w:r>
      <w:r w:rsidR="00AC499B" w:rsidRPr="002B04F8">
        <w:rPr>
          <w:rFonts w:ascii="Tahoma" w:hAnsi="Tahoma" w:cs="Tahoma"/>
          <w:sz w:val="24"/>
          <w:szCs w:val="24"/>
        </w:rPr>
        <w:t xml:space="preserve"> </w:t>
      </w:r>
    </w:p>
    <w:p w:rsidR="00AC499B" w:rsidRPr="002B04F8" w:rsidRDefault="00AC499B" w:rsidP="00AC499B">
      <w:pPr>
        <w:pStyle w:val="ListParagraph"/>
        <w:suppressAutoHyphens/>
        <w:rPr>
          <w:rFonts w:ascii="Tahoma" w:hAnsi="Tahoma" w:cs="Tahoma"/>
          <w:sz w:val="24"/>
          <w:szCs w:val="24"/>
        </w:rPr>
      </w:pPr>
    </w:p>
    <w:p w:rsidR="00AC499B" w:rsidRPr="002B04F8" w:rsidRDefault="00AC499B" w:rsidP="00AC499B">
      <w:pPr>
        <w:pStyle w:val="ListParagraph"/>
        <w:numPr>
          <w:ilvl w:val="0"/>
          <w:numId w:val="7"/>
        </w:numPr>
        <w:suppressAutoHyphens/>
        <w:spacing w:after="0" w:line="240" w:lineRule="auto"/>
        <w:contextualSpacing w:val="0"/>
        <w:rPr>
          <w:rFonts w:ascii="Tahoma" w:hAnsi="Tahoma" w:cs="Tahoma"/>
          <w:sz w:val="24"/>
          <w:szCs w:val="24"/>
        </w:rPr>
      </w:pPr>
      <w:r w:rsidRPr="002B04F8">
        <w:rPr>
          <w:rFonts w:ascii="Tahoma" w:hAnsi="Tahoma" w:cs="Tahoma"/>
          <w:sz w:val="24"/>
          <w:szCs w:val="24"/>
        </w:rPr>
        <w:t>The</w:t>
      </w:r>
      <w:r w:rsidR="00471D8E" w:rsidRPr="002B04F8">
        <w:rPr>
          <w:rFonts w:ascii="Tahoma" w:hAnsi="Tahoma" w:cs="Tahoma"/>
          <w:sz w:val="24"/>
          <w:szCs w:val="24"/>
        </w:rPr>
        <w:t xml:space="preserve"> Emergency Preparedness Program</w:t>
      </w:r>
      <w:r w:rsidRPr="002B04F8">
        <w:rPr>
          <w:rFonts w:ascii="Tahoma" w:hAnsi="Tahoma" w:cs="Tahoma"/>
          <w:sz w:val="24"/>
          <w:szCs w:val="24"/>
        </w:rPr>
        <w:t xml:space="preserve"> utilizes the National Incident Command System (NIMS) and Incident Command System (ICS) concepts to facilitate preventing, protecting against, responding to and recovering from as well as mitigating the effects of incidents. </w:t>
      </w:r>
    </w:p>
    <w:p w:rsidR="00AC499B" w:rsidRPr="002B04F8" w:rsidRDefault="00AC499B" w:rsidP="00AC499B">
      <w:pPr>
        <w:suppressAutoHyphens/>
        <w:rPr>
          <w:rFonts w:ascii="Tahoma" w:hAnsi="Tahoma" w:cs="Tahoma"/>
          <w:sz w:val="24"/>
          <w:szCs w:val="24"/>
        </w:rPr>
      </w:pPr>
    </w:p>
    <w:p w:rsidR="00AC499B" w:rsidRPr="002B04F8" w:rsidRDefault="00471D8E" w:rsidP="00AC499B">
      <w:pPr>
        <w:pStyle w:val="ListParagraph"/>
        <w:numPr>
          <w:ilvl w:val="0"/>
          <w:numId w:val="7"/>
        </w:numPr>
        <w:suppressAutoHyphens/>
        <w:spacing w:after="0" w:line="240" w:lineRule="auto"/>
        <w:contextualSpacing w:val="0"/>
        <w:rPr>
          <w:rFonts w:ascii="Tahoma" w:hAnsi="Tahoma" w:cs="Tahoma"/>
          <w:sz w:val="24"/>
          <w:szCs w:val="24"/>
        </w:rPr>
      </w:pPr>
      <w:r w:rsidRPr="002B04F8">
        <w:rPr>
          <w:rFonts w:ascii="Tahoma" w:hAnsi="Tahoma" w:cs="Tahoma"/>
          <w:sz w:val="24"/>
          <w:szCs w:val="24"/>
        </w:rPr>
        <w:t>Trouves uses a</w:t>
      </w:r>
      <w:r w:rsidR="00AC499B" w:rsidRPr="002B04F8">
        <w:rPr>
          <w:rFonts w:ascii="Tahoma" w:hAnsi="Tahoma" w:cs="Tahoma"/>
          <w:sz w:val="24"/>
          <w:szCs w:val="24"/>
        </w:rPr>
        <w:t xml:space="preserve"> Comprehensive Emergency Management Plan (CEMP).  The CEMP is the ove</w:t>
      </w:r>
      <w:r w:rsidRPr="002B04F8">
        <w:rPr>
          <w:rFonts w:ascii="Tahoma" w:hAnsi="Tahoma" w:cs="Tahoma"/>
          <w:sz w:val="24"/>
          <w:szCs w:val="24"/>
        </w:rPr>
        <w:t>rarching all hazard plan for Trouves facilities</w:t>
      </w:r>
      <w:r w:rsidR="00AC499B" w:rsidRPr="002B04F8">
        <w:rPr>
          <w:rFonts w:ascii="Tahoma" w:hAnsi="Tahoma" w:cs="Tahoma"/>
          <w:sz w:val="24"/>
          <w:szCs w:val="24"/>
        </w:rPr>
        <w:t>. This plan addresses health, safety and securit</w:t>
      </w:r>
      <w:r w:rsidRPr="002B04F8">
        <w:rPr>
          <w:rFonts w:ascii="Tahoma" w:hAnsi="Tahoma" w:cs="Tahoma"/>
          <w:sz w:val="24"/>
          <w:szCs w:val="24"/>
        </w:rPr>
        <w:t>y needs of staff and the resident</w:t>
      </w:r>
      <w:r w:rsidR="00AC499B" w:rsidRPr="002B04F8">
        <w:rPr>
          <w:rFonts w:ascii="Tahoma" w:hAnsi="Tahoma" w:cs="Tahoma"/>
          <w:sz w:val="24"/>
          <w:szCs w:val="24"/>
        </w:rPr>
        <w:t xml:space="preserve"> population during an emergency incident, disaster or pre-planned event.</w:t>
      </w:r>
    </w:p>
    <w:p w:rsidR="00AC499B" w:rsidRPr="002B04F8" w:rsidRDefault="00AC499B" w:rsidP="00AC499B">
      <w:pPr>
        <w:suppressAutoHyphens/>
        <w:rPr>
          <w:rFonts w:ascii="Tahoma" w:hAnsi="Tahoma" w:cs="Tahoma"/>
          <w:sz w:val="24"/>
          <w:szCs w:val="24"/>
        </w:rPr>
      </w:pPr>
      <w:r w:rsidRPr="002B04F8">
        <w:rPr>
          <w:rFonts w:ascii="Tahoma" w:hAnsi="Tahoma" w:cs="Tahoma"/>
          <w:sz w:val="24"/>
          <w:szCs w:val="24"/>
        </w:rPr>
        <w:t xml:space="preserve">  </w:t>
      </w:r>
    </w:p>
    <w:p w:rsidR="00AC499B" w:rsidRPr="002B04F8" w:rsidRDefault="00471D8E" w:rsidP="00676B00">
      <w:pPr>
        <w:pStyle w:val="ListParagraph"/>
        <w:numPr>
          <w:ilvl w:val="0"/>
          <w:numId w:val="7"/>
        </w:numPr>
        <w:spacing w:after="200" w:line="276" w:lineRule="auto"/>
        <w:rPr>
          <w:rFonts w:ascii="Tahoma" w:hAnsi="Tahoma" w:cs="Tahoma"/>
          <w:sz w:val="24"/>
          <w:szCs w:val="24"/>
        </w:rPr>
      </w:pPr>
      <w:r w:rsidRPr="002B04F8">
        <w:rPr>
          <w:rFonts w:ascii="Tahoma" w:hAnsi="Tahoma" w:cs="Tahoma"/>
          <w:sz w:val="24"/>
          <w:szCs w:val="24"/>
        </w:rPr>
        <w:t xml:space="preserve">A </w:t>
      </w:r>
      <w:r w:rsidR="00AC499B" w:rsidRPr="002B04F8">
        <w:rPr>
          <w:rFonts w:ascii="Tahoma" w:hAnsi="Tahoma" w:cs="Tahoma"/>
          <w:sz w:val="24"/>
          <w:szCs w:val="24"/>
        </w:rPr>
        <w:t>Continuity of Operations Plan (COOP)</w:t>
      </w:r>
      <w:r w:rsidRPr="002B04F8">
        <w:rPr>
          <w:rFonts w:ascii="Tahoma" w:hAnsi="Tahoma" w:cs="Tahoma"/>
          <w:sz w:val="24"/>
          <w:szCs w:val="24"/>
        </w:rPr>
        <w:t xml:space="preserve"> is also used</w:t>
      </w:r>
      <w:r w:rsidR="00AC499B" w:rsidRPr="002B04F8">
        <w:rPr>
          <w:rFonts w:ascii="Tahoma" w:hAnsi="Tahoma" w:cs="Tahoma"/>
          <w:sz w:val="24"/>
          <w:szCs w:val="24"/>
        </w:rPr>
        <w:t xml:space="preserve">.  The COOP identifies critical functions that must remain operational immediately following an incident or disaster.  </w:t>
      </w:r>
    </w:p>
    <w:p w:rsidR="00AC499B" w:rsidRPr="002B04F8" w:rsidRDefault="00AC499B" w:rsidP="00AC499B">
      <w:pPr>
        <w:pStyle w:val="ListParagraph"/>
        <w:numPr>
          <w:ilvl w:val="1"/>
          <w:numId w:val="7"/>
        </w:numPr>
        <w:spacing w:after="200" w:line="276" w:lineRule="auto"/>
        <w:rPr>
          <w:rFonts w:ascii="Tahoma" w:hAnsi="Tahoma" w:cs="Tahoma"/>
          <w:sz w:val="24"/>
          <w:szCs w:val="24"/>
        </w:rPr>
      </w:pPr>
      <w:r w:rsidRPr="002B04F8">
        <w:rPr>
          <w:rFonts w:ascii="Tahoma" w:hAnsi="Tahoma" w:cs="Tahoma"/>
          <w:sz w:val="24"/>
          <w:szCs w:val="24"/>
        </w:rPr>
        <w:t xml:space="preserve">The COOP plan provides continue continuity of </w:t>
      </w:r>
      <w:r w:rsidR="00471D8E" w:rsidRPr="002B04F8">
        <w:rPr>
          <w:rFonts w:ascii="Tahoma" w:hAnsi="Tahoma" w:cs="Tahoma"/>
          <w:sz w:val="24"/>
          <w:szCs w:val="24"/>
        </w:rPr>
        <w:t>resident</w:t>
      </w:r>
      <w:r w:rsidRPr="002B04F8">
        <w:rPr>
          <w:rFonts w:ascii="Tahoma" w:hAnsi="Tahoma" w:cs="Tahoma"/>
          <w:sz w:val="24"/>
          <w:szCs w:val="24"/>
        </w:rPr>
        <w:t xml:space="preserve"> care and supporting operations after an emergency incident, disaster or pre-planned event. Important elements in the COOP are:</w:t>
      </w:r>
    </w:p>
    <w:p w:rsidR="00AC499B" w:rsidRPr="002B04F8" w:rsidRDefault="00AC499B" w:rsidP="00AC499B">
      <w:pPr>
        <w:pStyle w:val="ListParagraph"/>
        <w:numPr>
          <w:ilvl w:val="0"/>
          <w:numId w:val="8"/>
        </w:numPr>
        <w:spacing w:after="200" w:line="276" w:lineRule="auto"/>
        <w:rPr>
          <w:rFonts w:ascii="Tahoma" w:hAnsi="Tahoma" w:cs="Tahoma"/>
          <w:sz w:val="24"/>
          <w:szCs w:val="24"/>
        </w:rPr>
      </w:pPr>
      <w:r w:rsidRPr="002B04F8">
        <w:rPr>
          <w:rFonts w:ascii="Tahoma" w:hAnsi="Tahoma" w:cs="Tahoma"/>
          <w:sz w:val="24"/>
          <w:szCs w:val="24"/>
        </w:rPr>
        <w:t>Mission essential functions</w:t>
      </w:r>
    </w:p>
    <w:p w:rsidR="00AC499B" w:rsidRPr="002B04F8" w:rsidRDefault="00AC499B" w:rsidP="00AC499B">
      <w:pPr>
        <w:pStyle w:val="ListParagraph"/>
        <w:numPr>
          <w:ilvl w:val="0"/>
          <w:numId w:val="8"/>
        </w:numPr>
        <w:spacing w:after="200" w:line="276" w:lineRule="auto"/>
        <w:rPr>
          <w:rFonts w:ascii="Tahoma" w:hAnsi="Tahoma" w:cs="Tahoma"/>
          <w:sz w:val="24"/>
          <w:szCs w:val="24"/>
        </w:rPr>
      </w:pPr>
      <w:r w:rsidRPr="002B04F8">
        <w:rPr>
          <w:rFonts w:ascii="Tahoma" w:hAnsi="Tahoma" w:cs="Tahoma"/>
          <w:sz w:val="24"/>
          <w:szCs w:val="24"/>
        </w:rPr>
        <w:t xml:space="preserve">Succession planning </w:t>
      </w:r>
    </w:p>
    <w:p w:rsidR="00AC499B" w:rsidRPr="002B04F8" w:rsidRDefault="00AC499B" w:rsidP="00AC499B">
      <w:pPr>
        <w:pStyle w:val="ListParagraph"/>
        <w:numPr>
          <w:ilvl w:val="0"/>
          <w:numId w:val="8"/>
        </w:numPr>
        <w:spacing w:after="200" w:line="276" w:lineRule="auto"/>
        <w:rPr>
          <w:rFonts w:ascii="Tahoma" w:hAnsi="Tahoma" w:cs="Tahoma"/>
          <w:sz w:val="24"/>
          <w:szCs w:val="24"/>
        </w:rPr>
      </w:pPr>
      <w:r w:rsidRPr="002B04F8">
        <w:rPr>
          <w:rFonts w:ascii="Tahoma" w:hAnsi="Tahoma" w:cs="Tahoma"/>
          <w:sz w:val="24"/>
          <w:szCs w:val="24"/>
        </w:rPr>
        <w:t xml:space="preserve">Delegation of authority </w:t>
      </w:r>
    </w:p>
    <w:p w:rsidR="00AC499B" w:rsidRPr="002B04F8" w:rsidRDefault="00AC499B" w:rsidP="00AC499B">
      <w:pPr>
        <w:pStyle w:val="ListParagraph"/>
        <w:numPr>
          <w:ilvl w:val="0"/>
          <w:numId w:val="8"/>
        </w:numPr>
        <w:spacing w:after="200" w:line="276" w:lineRule="auto"/>
        <w:rPr>
          <w:rFonts w:ascii="Tahoma" w:hAnsi="Tahoma" w:cs="Tahoma"/>
          <w:sz w:val="24"/>
          <w:szCs w:val="24"/>
        </w:rPr>
      </w:pPr>
      <w:r w:rsidRPr="002B04F8">
        <w:rPr>
          <w:rFonts w:ascii="Tahoma" w:hAnsi="Tahoma" w:cs="Tahoma"/>
          <w:sz w:val="24"/>
          <w:szCs w:val="24"/>
        </w:rPr>
        <w:t>Utility failure information</w:t>
      </w:r>
    </w:p>
    <w:p w:rsidR="00AC499B" w:rsidRPr="002B04F8" w:rsidRDefault="00AC499B" w:rsidP="00AC499B">
      <w:pPr>
        <w:pStyle w:val="ListParagraph"/>
        <w:numPr>
          <w:ilvl w:val="0"/>
          <w:numId w:val="8"/>
        </w:numPr>
        <w:spacing w:after="200" w:line="276" w:lineRule="auto"/>
        <w:rPr>
          <w:rFonts w:ascii="Tahoma" w:hAnsi="Tahoma" w:cs="Tahoma"/>
          <w:sz w:val="24"/>
          <w:szCs w:val="24"/>
        </w:rPr>
      </w:pPr>
      <w:r w:rsidRPr="002B04F8">
        <w:rPr>
          <w:rFonts w:ascii="Tahoma" w:hAnsi="Tahoma" w:cs="Tahoma"/>
          <w:sz w:val="24"/>
          <w:szCs w:val="24"/>
        </w:rPr>
        <w:t>Sustenance information</w:t>
      </w:r>
    </w:p>
    <w:p w:rsidR="00AC499B" w:rsidRPr="002B04F8" w:rsidRDefault="00AC499B" w:rsidP="00AC499B">
      <w:pPr>
        <w:pStyle w:val="ListParagraph"/>
        <w:numPr>
          <w:ilvl w:val="0"/>
          <w:numId w:val="8"/>
        </w:numPr>
        <w:spacing w:after="200" w:line="276" w:lineRule="auto"/>
        <w:rPr>
          <w:rFonts w:ascii="Tahoma" w:hAnsi="Tahoma" w:cs="Tahoma"/>
          <w:sz w:val="24"/>
          <w:szCs w:val="24"/>
        </w:rPr>
      </w:pPr>
      <w:r w:rsidRPr="002B04F8">
        <w:rPr>
          <w:rFonts w:ascii="Tahoma" w:hAnsi="Tahoma" w:cs="Tahoma"/>
          <w:sz w:val="24"/>
          <w:szCs w:val="24"/>
        </w:rPr>
        <w:t xml:space="preserve">Emergency supplies </w:t>
      </w:r>
    </w:p>
    <w:p w:rsidR="00AC499B" w:rsidRPr="002B04F8" w:rsidRDefault="00AC499B" w:rsidP="00471D8E">
      <w:pPr>
        <w:suppressAutoHyphens/>
        <w:rPr>
          <w:rFonts w:ascii="Tahoma" w:hAnsi="Tahoma" w:cs="Tahoma"/>
          <w:sz w:val="24"/>
          <w:szCs w:val="24"/>
        </w:rPr>
      </w:pPr>
    </w:p>
    <w:p w:rsidR="00AC499B" w:rsidRPr="002B04F8" w:rsidRDefault="00AC499B" w:rsidP="00AC499B">
      <w:pPr>
        <w:pStyle w:val="ListParagraph"/>
        <w:numPr>
          <w:ilvl w:val="0"/>
          <w:numId w:val="7"/>
        </w:numPr>
        <w:suppressAutoHyphens/>
        <w:spacing w:after="0" w:line="240" w:lineRule="auto"/>
        <w:contextualSpacing w:val="0"/>
        <w:rPr>
          <w:rFonts w:ascii="Tahoma" w:hAnsi="Tahoma" w:cs="Tahoma"/>
          <w:sz w:val="24"/>
          <w:szCs w:val="24"/>
        </w:rPr>
      </w:pPr>
      <w:r w:rsidRPr="002B04F8">
        <w:rPr>
          <w:rFonts w:ascii="Tahoma" w:hAnsi="Tahoma" w:cs="Tahoma"/>
          <w:sz w:val="24"/>
          <w:szCs w:val="24"/>
        </w:rPr>
        <w:t>The CEMP and COOP is the responsibility of t</w:t>
      </w:r>
      <w:r w:rsidR="003B2FD3">
        <w:rPr>
          <w:rFonts w:ascii="Tahoma" w:hAnsi="Tahoma" w:cs="Tahoma"/>
          <w:sz w:val="24"/>
          <w:szCs w:val="24"/>
        </w:rPr>
        <w:t>he Administrator or designee</w:t>
      </w:r>
      <w:r w:rsidRPr="002B04F8">
        <w:rPr>
          <w:rFonts w:ascii="Tahoma" w:hAnsi="Tahoma" w:cs="Tahoma"/>
          <w:sz w:val="24"/>
          <w:szCs w:val="24"/>
        </w:rPr>
        <w:t xml:space="preserve"> and is reviewed annually. </w:t>
      </w:r>
    </w:p>
    <w:p w:rsidR="00AC499B" w:rsidRPr="002B04F8" w:rsidRDefault="00AC499B" w:rsidP="00AC499B">
      <w:pPr>
        <w:pStyle w:val="ListParagraph"/>
        <w:suppressAutoHyphens/>
        <w:rPr>
          <w:rFonts w:ascii="Tahoma" w:hAnsi="Tahoma" w:cs="Tahoma"/>
          <w:sz w:val="24"/>
          <w:szCs w:val="24"/>
        </w:rPr>
      </w:pPr>
    </w:p>
    <w:p w:rsidR="00AC499B" w:rsidRDefault="00471D8E" w:rsidP="007E57A3">
      <w:pPr>
        <w:pStyle w:val="ListParagraph"/>
        <w:widowControl w:val="0"/>
        <w:numPr>
          <w:ilvl w:val="0"/>
          <w:numId w:val="7"/>
        </w:numPr>
        <w:tabs>
          <w:tab w:val="left" w:pos="720"/>
        </w:tabs>
        <w:spacing w:after="0" w:line="240" w:lineRule="auto"/>
        <w:contextualSpacing w:val="0"/>
        <w:rPr>
          <w:rFonts w:ascii="Tahoma" w:hAnsi="Tahoma" w:cs="Tahoma"/>
          <w:sz w:val="24"/>
          <w:szCs w:val="24"/>
        </w:rPr>
      </w:pPr>
      <w:r w:rsidRPr="002B04F8">
        <w:rPr>
          <w:rFonts w:ascii="Tahoma" w:hAnsi="Tahoma" w:cs="Tahoma"/>
          <w:sz w:val="24"/>
          <w:szCs w:val="24"/>
        </w:rPr>
        <w:t>All Trouves</w:t>
      </w:r>
      <w:r w:rsidR="00AC499B" w:rsidRPr="002B04F8">
        <w:rPr>
          <w:rFonts w:ascii="Tahoma" w:hAnsi="Tahoma" w:cs="Tahoma"/>
          <w:sz w:val="24"/>
          <w:szCs w:val="24"/>
        </w:rPr>
        <w:t xml:space="preserve"> employees, contract employees, interns, students, and volunteers are expected to have working knowledge of the Comprehensive Emergency Management Plan (CEMP). Each employee is responsible to understand the role they may be required to play in an emergency.</w:t>
      </w:r>
    </w:p>
    <w:p w:rsidR="007E57A3" w:rsidRPr="007E57A3" w:rsidRDefault="007E57A3" w:rsidP="007E57A3">
      <w:pPr>
        <w:widowControl w:val="0"/>
        <w:tabs>
          <w:tab w:val="left" w:pos="720"/>
        </w:tabs>
        <w:spacing w:after="0" w:line="240" w:lineRule="auto"/>
        <w:rPr>
          <w:rFonts w:ascii="Tahoma" w:hAnsi="Tahoma" w:cs="Tahoma"/>
          <w:sz w:val="24"/>
          <w:szCs w:val="24"/>
        </w:rPr>
      </w:pPr>
    </w:p>
    <w:p w:rsidR="00AC499B" w:rsidRPr="002B04F8" w:rsidRDefault="00AC499B" w:rsidP="002B04F8">
      <w:pPr>
        <w:pStyle w:val="ListParagraph"/>
        <w:widowControl w:val="0"/>
        <w:numPr>
          <w:ilvl w:val="0"/>
          <w:numId w:val="7"/>
        </w:numPr>
        <w:tabs>
          <w:tab w:val="left" w:pos="1080"/>
        </w:tabs>
        <w:spacing w:after="0" w:line="240" w:lineRule="auto"/>
        <w:contextualSpacing w:val="0"/>
        <w:rPr>
          <w:rFonts w:ascii="Tahoma" w:hAnsi="Tahoma" w:cs="Tahoma"/>
          <w:sz w:val="24"/>
          <w:szCs w:val="24"/>
        </w:rPr>
      </w:pPr>
      <w:r w:rsidRPr="002B04F8">
        <w:rPr>
          <w:rFonts w:ascii="Tahoma" w:hAnsi="Tahoma" w:cs="Tahoma"/>
          <w:sz w:val="24"/>
          <w:szCs w:val="24"/>
        </w:rPr>
        <w:t xml:space="preserve">Supervisors and Managers are responsible to direct their staff to review plans and procedures for emergency response in their work area annually.  </w:t>
      </w:r>
    </w:p>
    <w:p w:rsidR="00AC499B" w:rsidRPr="002B04F8" w:rsidRDefault="00AC499B">
      <w:pPr>
        <w:rPr>
          <w:rFonts w:ascii="Tahoma" w:hAnsi="Tahoma" w:cs="Tahoma"/>
          <w:b/>
          <w:sz w:val="24"/>
          <w:szCs w:val="24"/>
          <w:u w:val="single"/>
        </w:rPr>
      </w:pPr>
    </w:p>
    <w:p w:rsidR="002B04F8" w:rsidRPr="002B04F8" w:rsidRDefault="00FE4F9D" w:rsidP="002B04F8">
      <w:pPr>
        <w:suppressAutoHyphens/>
        <w:spacing w:after="0" w:line="240" w:lineRule="auto"/>
        <w:rPr>
          <w:rFonts w:ascii="Tahoma" w:hAnsi="Tahoma" w:cs="Tahoma"/>
          <w:sz w:val="24"/>
          <w:szCs w:val="24"/>
        </w:rPr>
      </w:pPr>
      <w:r w:rsidRPr="002B04F8">
        <w:rPr>
          <w:rFonts w:ascii="Tahoma" w:hAnsi="Tahoma" w:cs="Tahoma"/>
          <w:b/>
          <w:sz w:val="24"/>
          <w:szCs w:val="24"/>
          <w:u w:val="single"/>
        </w:rPr>
        <w:t>PROCEDURE:</w:t>
      </w:r>
      <w:r w:rsidR="002B04F8" w:rsidRPr="002B04F8">
        <w:rPr>
          <w:rFonts w:ascii="Tahoma" w:hAnsi="Tahoma" w:cs="Tahoma"/>
          <w:sz w:val="24"/>
          <w:szCs w:val="24"/>
        </w:rPr>
        <w:t xml:space="preserve"> </w:t>
      </w:r>
    </w:p>
    <w:p w:rsidR="002B04F8" w:rsidRDefault="002B04F8" w:rsidP="002B04F8">
      <w:pPr>
        <w:pStyle w:val="ListParagraph"/>
        <w:suppressAutoHyphens/>
        <w:spacing w:after="0" w:line="240" w:lineRule="auto"/>
        <w:ind w:left="780"/>
        <w:contextualSpacing w:val="0"/>
        <w:rPr>
          <w:rFonts w:ascii="Tahoma" w:hAnsi="Tahoma" w:cs="Tahoma"/>
          <w:sz w:val="24"/>
          <w:szCs w:val="24"/>
        </w:rPr>
      </w:pPr>
    </w:p>
    <w:p w:rsidR="002B04F8" w:rsidRPr="002B04F8" w:rsidRDefault="002B04F8" w:rsidP="002B04F8">
      <w:pPr>
        <w:pStyle w:val="ListParagraph"/>
        <w:numPr>
          <w:ilvl w:val="0"/>
          <w:numId w:val="9"/>
        </w:numPr>
        <w:suppressAutoHyphens/>
        <w:spacing w:after="0" w:line="240" w:lineRule="auto"/>
        <w:ind w:hanging="420"/>
        <w:contextualSpacing w:val="0"/>
        <w:rPr>
          <w:rFonts w:ascii="Tahoma" w:hAnsi="Tahoma" w:cs="Tahoma"/>
          <w:sz w:val="24"/>
          <w:szCs w:val="24"/>
        </w:rPr>
      </w:pPr>
      <w:r>
        <w:rPr>
          <w:rFonts w:ascii="Tahoma" w:hAnsi="Tahoma" w:cs="Tahoma"/>
          <w:sz w:val="24"/>
          <w:szCs w:val="24"/>
        </w:rPr>
        <w:t xml:space="preserve">Trouves Health Care uses </w:t>
      </w:r>
      <w:r w:rsidRPr="002B04F8">
        <w:rPr>
          <w:rFonts w:ascii="Tahoma" w:hAnsi="Tahoma" w:cs="Tahoma"/>
          <w:sz w:val="24"/>
          <w:szCs w:val="24"/>
        </w:rPr>
        <w:t>Incident Command and Management</w:t>
      </w:r>
      <w:r>
        <w:rPr>
          <w:rFonts w:ascii="Tahoma" w:hAnsi="Tahoma" w:cs="Tahoma"/>
          <w:sz w:val="24"/>
          <w:szCs w:val="24"/>
        </w:rPr>
        <w:t xml:space="preserve"> where staff follow their chain of command.</w:t>
      </w:r>
    </w:p>
    <w:p w:rsidR="002B04F8" w:rsidRPr="002B04F8" w:rsidRDefault="002B04F8" w:rsidP="002B04F8">
      <w:pPr>
        <w:pStyle w:val="ListParagraph"/>
        <w:suppressAutoHyphens/>
        <w:ind w:left="780"/>
        <w:rPr>
          <w:rFonts w:ascii="Tahoma" w:hAnsi="Tahoma" w:cs="Tahoma"/>
          <w:sz w:val="24"/>
          <w:szCs w:val="24"/>
        </w:rPr>
      </w:pPr>
    </w:p>
    <w:p w:rsidR="002B04F8" w:rsidRPr="002B04F8" w:rsidRDefault="002B04F8" w:rsidP="002B04F8">
      <w:pPr>
        <w:pStyle w:val="ListParagraph"/>
        <w:suppressAutoHyphens/>
        <w:ind w:left="780"/>
        <w:rPr>
          <w:rFonts w:ascii="Tahoma" w:hAnsi="Tahoma" w:cs="Tahoma"/>
          <w:sz w:val="24"/>
          <w:szCs w:val="24"/>
        </w:rPr>
      </w:pPr>
      <w:r w:rsidRPr="002B04F8">
        <w:rPr>
          <w:rFonts w:ascii="Tahoma" w:hAnsi="Tahoma" w:cs="Tahoma"/>
          <w:sz w:val="24"/>
          <w:szCs w:val="24"/>
        </w:rPr>
        <w:t>During incidents or disasters, a Scene Commander will be located at the incident site and is in charge of the incident. The Scene Commander is usually the highest ranking nurse and most trained person on duty at the time of the incident (Usually a Charge Nurse).  The Scene Commander repo</w:t>
      </w:r>
      <w:r>
        <w:rPr>
          <w:rFonts w:ascii="Tahoma" w:hAnsi="Tahoma" w:cs="Tahoma"/>
          <w:sz w:val="24"/>
          <w:szCs w:val="24"/>
        </w:rPr>
        <w:t xml:space="preserve">rts to the </w:t>
      </w:r>
      <w:r w:rsidR="003B2FD3">
        <w:rPr>
          <w:rFonts w:ascii="Tahoma" w:hAnsi="Tahoma" w:cs="Tahoma"/>
          <w:sz w:val="24"/>
          <w:szCs w:val="24"/>
        </w:rPr>
        <w:t>Administrator</w:t>
      </w:r>
      <w:r w:rsidRPr="002B04F8">
        <w:rPr>
          <w:rFonts w:ascii="Tahoma" w:hAnsi="Tahoma" w:cs="Tahoma"/>
          <w:sz w:val="24"/>
          <w:szCs w:val="24"/>
        </w:rPr>
        <w:t xml:space="preserve"> and work together to manage the incident.  </w:t>
      </w:r>
    </w:p>
    <w:p w:rsidR="002B04F8" w:rsidRPr="002B04F8" w:rsidRDefault="002B04F8" w:rsidP="002B04F8">
      <w:pPr>
        <w:pStyle w:val="ListParagraph"/>
        <w:suppressAutoHyphens/>
        <w:ind w:left="780"/>
        <w:rPr>
          <w:rFonts w:ascii="Tahoma" w:hAnsi="Tahoma" w:cs="Tahoma"/>
          <w:sz w:val="24"/>
          <w:szCs w:val="24"/>
        </w:rPr>
      </w:pPr>
    </w:p>
    <w:p w:rsidR="002B04F8" w:rsidRPr="002B04F8" w:rsidRDefault="002B04F8" w:rsidP="002B04F8">
      <w:pPr>
        <w:pStyle w:val="ListParagraph"/>
        <w:numPr>
          <w:ilvl w:val="0"/>
          <w:numId w:val="10"/>
        </w:numPr>
        <w:suppressAutoHyphens/>
        <w:spacing w:after="0" w:line="240" w:lineRule="auto"/>
        <w:contextualSpacing w:val="0"/>
        <w:rPr>
          <w:rFonts w:ascii="Tahoma" w:hAnsi="Tahoma" w:cs="Tahoma"/>
          <w:sz w:val="24"/>
          <w:szCs w:val="24"/>
        </w:rPr>
      </w:pPr>
      <w:r w:rsidRPr="002B04F8">
        <w:rPr>
          <w:rFonts w:ascii="Tahoma" w:hAnsi="Tahoma" w:cs="Tahoma"/>
          <w:sz w:val="24"/>
          <w:szCs w:val="24"/>
        </w:rPr>
        <w:t xml:space="preserve">During an incident, the </w:t>
      </w:r>
      <w:r w:rsidR="003B2FD3">
        <w:rPr>
          <w:rFonts w:ascii="Tahoma" w:hAnsi="Tahoma" w:cs="Tahoma"/>
          <w:sz w:val="24"/>
          <w:szCs w:val="24"/>
        </w:rPr>
        <w:t>Administrator</w:t>
      </w:r>
      <w:r w:rsidRPr="002B04F8">
        <w:rPr>
          <w:rFonts w:ascii="Tahoma" w:hAnsi="Tahoma" w:cs="Tahoma"/>
          <w:sz w:val="24"/>
          <w:szCs w:val="24"/>
        </w:rPr>
        <w:t xml:space="preserve"> is the Incident Commander and will remain in charge until someone higher ranking (A</w:t>
      </w:r>
      <w:r>
        <w:rPr>
          <w:rFonts w:ascii="Tahoma" w:hAnsi="Tahoma" w:cs="Tahoma"/>
          <w:sz w:val="24"/>
          <w:szCs w:val="24"/>
        </w:rPr>
        <w:t xml:space="preserve">dministrator </w:t>
      </w:r>
      <w:r w:rsidRPr="002B04F8">
        <w:rPr>
          <w:rFonts w:ascii="Tahoma" w:hAnsi="Tahoma" w:cs="Tahoma"/>
          <w:sz w:val="24"/>
          <w:szCs w:val="24"/>
        </w:rPr>
        <w:t>O</w:t>
      </w:r>
      <w:r>
        <w:rPr>
          <w:rFonts w:ascii="Tahoma" w:hAnsi="Tahoma" w:cs="Tahoma"/>
          <w:sz w:val="24"/>
          <w:szCs w:val="24"/>
        </w:rPr>
        <w:t xml:space="preserve">n </w:t>
      </w:r>
      <w:r w:rsidRPr="002B04F8">
        <w:rPr>
          <w:rFonts w:ascii="Tahoma" w:hAnsi="Tahoma" w:cs="Tahoma"/>
          <w:sz w:val="24"/>
          <w:szCs w:val="24"/>
        </w:rPr>
        <w:t>D</w:t>
      </w:r>
      <w:r>
        <w:rPr>
          <w:rFonts w:ascii="Tahoma" w:hAnsi="Tahoma" w:cs="Tahoma"/>
          <w:sz w:val="24"/>
          <w:szCs w:val="24"/>
        </w:rPr>
        <w:t>uty (AOD)</w:t>
      </w:r>
      <w:r w:rsidRPr="002B04F8">
        <w:rPr>
          <w:rFonts w:ascii="Tahoma" w:hAnsi="Tahoma" w:cs="Tahoma"/>
          <w:sz w:val="24"/>
          <w:szCs w:val="24"/>
        </w:rPr>
        <w:t>) or other members in the chain of command arrives and relieves them.</w:t>
      </w:r>
    </w:p>
    <w:p w:rsidR="002B04F8" w:rsidRPr="002B04F8" w:rsidRDefault="002B04F8" w:rsidP="002B04F8">
      <w:pPr>
        <w:pStyle w:val="ListParagraph"/>
        <w:suppressAutoHyphens/>
        <w:ind w:left="780"/>
        <w:rPr>
          <w:rFonts w:ascii="Tahoma" w:hAnsi="Tahoma" w:cs="Tahoma"/>
          <w:sz w:val="24"/>
          <w:szCs w:val="24"/>
        </w:rPr>
      </w:pPr>
    </w:p>
    <w:p w:rsidR="002B04F8" w:rsidRPr="002B04F8" w:rsidRDefault="002B04F8" w:rsidP="002B04F8">
      <w:pPr>
        <w:pStyle w:val="ListParagraph"/>
        <w:numPr>
          <w:ilvl w:val="0"/>
          <w:numId w:val="10"/>
        </w:numPr>
        <w:suppressAutoHyphens/>
        <w:spacing w:after="0" w:line="240" w:lineRule="auto"/>
        <w:contextualSpacing w:val="0"/>
        <w:rPr>
          <w:rFonts w:ascii="Tahoma" w:hAnsi="Tahoma" w:cs="Tahoma"/>
          <w:sz w:val="24"/>
          <w:szCs w:val="24"/>
        </w:rPr>
      </w:pPr>
      <w:r w:rsidRPr="002B04F8">
        <w:rPr>
          <w:rFonts w:ascii="Tahoma" w:hAnsi="Tahoma" w:cs="Tahoma"/>
          <w:sz w:val="24"/>
          <w:szCs w:val="24"/>
        </w:rPr>
        <w:t xml:space="preserve">The </w:t>
      </w:r>
      <w:r w:rsidR="003B2FD3">
        <w:rPr>
          <w:rFonts w:ascii="Tahoma" w:hAnsi="Tahoma" w:cs="Tahoma"/>
          <w:sz w:val="24"/>
          <w:szCs w:val="24"/>
        </w:rPr>
        <w:t>Administrator</w:t>
      </w:r>
      <w:r w:rsidRPr="002B04F8">
        <w:rPr>
          <w:rFonts w:ascii="Tahoma" w:hAnsi="Tahoma" w:cs="Tahoma"/>
          <w:sz w:val="24"/>
          <w:szCs w:val="24"/>
        </w:rPr>
        <w:t xml:space="preserve"> will serve as Incident Commander until relieved by the Administrator on Duty (AOD). This will occur only if necessary and if the AOD co</w:t>
      </w:r>
      <w:r>
        <w:rPr>
          <w:rFonts w:ascii="Tahoma" w:hAnsi="Tahoma" w:cs="Tahoma"/>
          <w:sz w:val="24"/>
          <w:szCs w:val="24"/>
        </w:rPr>
        <w:t xml:space="preserve">me on site to open a </w:t>
      </w:r>
      <w:r w:rsidRPr="002B04F8">
        <w:rPr>
          <w:rFonts w:ascii="Tahoma" w:hAnsi="Tahoma" w:cs="Tahoma"/>
          <w:sz w:val="24"/>
          <w:szCs w:val="24"/>
        </w:rPr>
        <w:t>Command Center. A period of overlap and briefing must occur before there is a transfer of command.</w:t>
      </w:r>
    </w:p>
    <w:p w:rsidR="002B04F8" w:rsidRPr="002B04F8" w:rsidRDefault="002B04F8" w:rsidP="002B04F8">
      <w:pPr>
        <w:pStyle w:val="ListParagraph"/>
        <w:suppressAutoHyphens/>
        <w:ind w:left="780"/>
        <w:rPr>
          <w:rFonts w:ascii="Tahoma" w:hAnsi="Tahoma" w:cs="Tahoma"/>
          <w:sz w:val="24"/>
          <w:szCs w:val="24"/>
        </w:rPr>
      </w:pPr>
    </w:p>
    <w:p w:rsidR="002B04F8" w:rsidRPr="002B04F8" w:rsidRDefault="002B04F8" w:rsidP="002B04F8">
      <w:pPr>
        <w:pStyle w:val="ListParagraph"/>
        <w:numPr>
          <w:ilvl w:val="0"/>
          <w:numId w:val="10"/>
        </w:numPr>
        <w:suppressAutoHyphens/>
        <w:spacing w:after="0" w:line="240" w:lineRule="auto"/>
        <w:contextualSpacing w:val="0"/>
        <w:rPr>
          <w:rFonts w:ascii="Tahoma" w:hAnsi="Tahoma" w:cs="Tahoma"/>
          <w:sz w:val="24"/>
          <w:szCs w:val="24"/>
        </w:rPr>
      </w:pPr>
      <w:r w:rsidRPr="002B04F8">
        <w:rPr>
          <w:rFonts w:ascii="Tahoma" w:hAnsi="Tahoma" w:cs="Tahoma"/>
          <w:sz w:val="24"/>
          <w:szCs w:val="24"/>
        </w:rPr>
        <w:t xml:space="preserve">When an Administrator on Duty (AOD) or other Executive Leadership Team (ELT) member relieves the </w:t>
      </w:r>
      <w:r w:rsidR="003B2FD3">
        <w:rPr>
          <w:rFonts w:ascii="Tahoma" w:hAnsi="Tahoma" w:cs="Tahoma"/>
          <w:sz w:val="24"/>
          <w:szCs w:val="24"/>
        </w:rPr>
        <w:t>Administrator</w:t>
      </w:r>
      <w:r w:rsidRPr="002B04F8">
        <w:rPr>
          <w:rFonts w:ascii="Tahoma" w:hAnsi="Tahoma" w:cs="Tahoma"/>
          <w:sz w:val="24"/>
          <w:szCs w:val="24"/>
        </w:rPr>
        <w:t xml:space="preserve"> they will announce the new Incident Commander by name and location.</w:t>
      </w:r>
    </w:p>
    <w:p w:rsidR="002B04F8" w:rsidRPr="002B04F8" w:rsidRDefault="002B04F8">
      <w:pPr>
        <w:rPr>
          <w:rFonts w:ascii="Tahoma" w:hAnsi="Tahoma" w:cs="Tahoma"/>
          <w:b/>
          <w:sz w:val="24"/>
          <w:szCs w:val="24"/>
          <w:u w:val="single"/>
        </w:rPr>
      </w:pPr>
    </w:p>
    <w:p w:rsidR="00FE4F9D" w:rsidRPr="002B04F8" w:rsidRDefault="00FE4F9D">
      <w:pPr>
        <w:rPr>
          <w:rFonts w:ascii="Tahoma" w:hAnsi="Tahoma" w:cs="Tahoma"/>
          <w:b/>
          <w:sz w:val="24"/>
          <w:szCs w:val="24"/>
          <w:u w:val="single"/>
        </w:rPr>
      </w:pPr>
      <w:r w:rsidRPr="002B04F8">
        <w:rPr>
          <w:rFonts w:ascii="Tahoma" w:hAnsi="Tahoma" w:cs="Tahoma"/>
          <w:b/>
          <w:sz w:val="24"/>
          <w:szCs w:val="24"/>
          <w:u w:val="single"/>
        </w:rPr>
        <w:t>EXCEPTIONS:</w:t>
      </w:r>
    </w:p>
    <w:p w:rsidR="001C75DC" w:rsidRPr="002B04F8" w:rsidRDefault="001C75DC" w:rsidP="001C75DC">
      <w:pPr>
        <w:suppressAutoHyphens/>
        <w:spacing w:after="0" w:line="240" w:lineRule="auto"/>
        <w:rPr>
          <w:rFonts w:ascii="Tahoma" w:eastAsia="Times New Roman" w:hAnsi="Tahoma" w:cs="Tahoma"/>
          <w:snapToGrid w:val="0"/>
          <w:color w:val="FF0000"/>
          <w:sz w:val="24"/>
          <w:szCs w:val="24"/>
          <w:u w:val="single"/>
        </w:rPr>
      </w:pPr>
      <w:r w:rsidRPr="002B04F8">
        <w:rPr>
          <w:rFonts w:ascii="Tahoma" w:eastAsia="Times New Roman" w:hAnsi="Tahoma" w:cs="Tahoma"/>
          <w:snapToGrid w:val="0"/>
          <w:sz w:val="24"/>
          <w:szCs w:val="24"/>
        </w:rPr>
        <w:t xml:space="preserve">No exceptions to this policy may be granted without the prior written approval of the Director. </w:t>
      </w:r>
    </w:p>
    <w:p w:rsidR="00FE4F9D" w:rsidRPr="002B04F8" w:rsidRDefault="00FE4F9D">
      <w:pPr>
        <w:rPr>
          <w:rFonts w:ascii="Tahoma" w:hAnsi="Tahoma" w:cs="Tahoma"/>
          <w:b/>
          <w:sz w:val="24"/>
          <w:szCs w:val="24"/>
          <w:u w:val="single"/>
        </w:rPr>
      </w:pPr>
    </w:p>
    <w:p w:rsidR="00FE4F9D" w:rsidRPr="002B04F8" w:rsidRDefault="00350291">
      <w:pPr>
        <w:rPr>
          <w:rFonts w:ascii="Tahoma" w:hAnsi="Tahoma" w:cs="Tahoma"/>
          <w:b/>
          <w:sz w:val="24"/>
          <w:szCs w:val="24"/>
          <w:u w:val="single"/>
        </w:rPr>
      </w:pPr>
      <w:r>
        <w:rPr>
          <w:rFonts w:ascii="Tahoma" w:hAnsi="Tahoma" w:cs="Tahoma"/>
          <w:b/>
          <w:sz w:val="24"/>
          <w:szCs w:val="24"/>
          <w:u w:val="single"/>
        </w:rPr>
        <w:t>SUPERCEDES</w:t>
      </w:r>
      <w:r w:rsidR="00FE4F9D" w:rsidRPr="002B04F8">
        <w:rPr>
          <w:rFonts w:ascii="Tahoma" w:hAnsi="Tahoma" w:cs="Tahoma"/>
          <w:b/>
          <w:sz w:val="24"/>
          <w:szCs w:val="24"/>
          <w:u w:val="single"/>
        </w:rPr>
        <w:t>:</w:t>
      </w:r>
    </w:p>
    <w:p w:rsidR="00FE4F9D" w:rsidRPr="002B04F8" w:rsidRDefault="00734C79">
      <w:pPr>
        <w:rPr>
          <w:rFonts w:ascii="Tahoma" w:hAnsi="Tahoma" w:cs="Tahoma"/>
          <w:sz w:val="24"/>
          <w:szCs w:val="24"/>
        </w:rPr>
      </w:pPr>
      <w:r w:rsidRPr="002B04F8">
        <w:rPr>
          <w:rFonts w:ascii="Tahoma" w:hAnsi="Tahoma" w:cs="Tahoma"/>
          <w:sz w:val="24"/>
          <w:szCs w:val="24"/>
        </w:rPr>
        <w:t>None</w:t>
      </w:r>
    </w:p>
    <w:p w:rsidR="00FE4F9D" w:rsidRPr="002B04F8" w:rsidRDefault="00FE4F9D">
      <w:pPr>
        <w:rPr>
          <w:rFonts w:ascii="Tahoma" w:hAnsi="Tahoma" w:cs="Tahoma"/>
          <w:b/>
          <w:sz w:val="24"/>
          <w:szCs w:val="24"/>
          <w:u w:val="single"/>
        </w:rPr>
      </w:pPr>
    </w:p>
    <w:p w:rsidR="00FE4F9D" w:rsidRPr="002B04F8" w:rsidRDefault="00FE4F9D">
      <w:pPr>
        <w:rPr>
          <w:rFonts w:ascii="Tahoma" w:hAnsi="Tahoma" w:cs="Tahoma"/>
          <w:sz w:val="24"/>
          <w:szCs w:val="24"/>
        </w:rPr>
      </w:pPr>
      <w:bookmarkStart w:id="0" w:name="_GoBack"/>
      <w:bookmarkEnd w:id="0"/>
    </w:p>
    <w:sectPr w:rsidR="00FE4F9D" w:rsidRPr="002B04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8C" w:rsidRDefault="008E088C" w:rsidP="00713142">
      <w:pPr>
        <w:spacing w:after="0" w:line="240" w:lineRule="auto"/>
      </w:pPr>
      <w:r>
        <w:separator/>
      </w:r>
    </w:p>
  </w:endnote>
  <w:endnote w:type="continuationSeparator" w:id="0">
    <w:p w:rsidR="008E088C" w:rsidRDefault="008E088C" w:rsidP="0071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4"/>
        <w:szCs w:val="24"/>
      </w:rPr>
      <w:id w:val="2101449634"/>
      <w:docPartObj>
        <w:docPartGallery w:val="Page Numbers (Bottom of Page)"/>
        <w:docPartUnique/>
      </w:docPartObj>
    </w:sdtPr>
    <w:sdtEndPr/>
    <w:sdtContent>
      <w:sdt>
        <w:sdtPr>
          <w:rPr>
            <w:rFonts w:ascii="Tahoma" w:hAnsi="Tahoma" w:cs="Tahoma"/>
            <w:sz w:val="24"/>
            <w:szCs w:val="24"/>
          </w:rPr>
          <w:id w:val="-1769616900"/>
          <w:docPartObj>
            <w:docPartGallery w:val="Page Numbers (Top of Page)"/>
            <w:docPartUnique/>
          </w:docPartObj>
        </w:sdtPr>
        <w:sdtEndPr/>
        <w:sdtContent>
          <w:p w:rsidR="00C75D0C" w:rsidRPr="00C75D0C" w:rsidRDefault="007E57A3" w:rsidP="00C75D0C">
            <w:pPr>
              <w:pStyle w:val="Footer"/>
              <w:rPr>
                <w:rFonts w:ascii="Tahoma" w:hAnsi="Tahoma" w:cs="Tahoma"/>
                <w:sz w:val="24"/>
                <w:szCs w:val="24"/>
              </w:rPr>
            </w:pPr>
            <w:r>
              <w:rPr>
                <w:rFonts w:ascii="Tahoma" w:hAnsi="Tahoma" w:cs="Tahoma"/>
                <w:sz w:val="24"/>
                <w:szCs w:val="24"/>
              </w:rPr>
              <w:t>8/18</w:t>
            </w:r>
            <w:r>
              <w:rPr>
                <w:rFonts w:ascii="Tahoma" w:hAnsi="Tahoma" w:cs="Tahoma"/>
                <w:sz w:val="24"/>
                <w:szCs w:val="24"/>
              </w:rPr>
              <w:tab/>
              <w:t>Chapter 5</w:t>
            </w:r>
            <w:r w:rsidR="00C75D0C">
              <w:rPr>
                <w:rFonts w:ascii="Tahoma" w:hAnsi="Tahoma" w:cs="Tahoma"/>
                <w:sz w:val="24"/>
                <w:szCs w:val="24"/>
              </w:rPr>
              <w:tab/>
            </w:r>
            <w:r w:rsidR="00C75D0C" w:rsidRPr="00C75D0C">
              <w:rPr>
                <w:rFonts w:ascii="Tahoma" w:hAnsi="Tahoma" w:cs="Tahoma"/>
                <w:sz w:val="24"/>
                <w:szCs w:val="24"/>
              </w:rPr>
              <w:t xml:space="preserve">Page </w:t>
            </w:r>
            <w:r w:rsidR="00C75D0C" w:rsidRPr="00C75D0C">
              <w:rPr>
                <w:rFonts w:ascii="Tahoma" w:hAnsi="Tahoma" w:cs="Tahoma"/>
                <w:b/>
                <w:bCs/>
                <w:sz w:val="24"/>
                <w:szCs w:val="24"/>
              </w:rPr>
              <w:fldChar w:fldCharType="begin"/>
            </w:r>
            <w:r w:rsidR="00C75D0C" w:rsidRPr="00C75D0C">
              <w:rPr>
                <w:rFonts w:ascii="Tahoma" w:hAnsi="Tahoma" w:cs="Tahoma"/>
                <w:b/>
                <w:bCs/>
                <w:sz w:val="24"/>
                <w:szCs w:val="24"/>
              </w:rPr>
              <w:instrText xml:space="preserve"> PAGE </w:instrText>
            </w:r>
            <w:r w:rsidR="00C75D0C" w:rsidRPr="00C75D0C">
              <w:rPr>
                <w:rFonts w:ascii="Tahoma" w:hAnsi="Tahoma" w:cs="Tahoma"/>
                <w:b/>
                <w:bCs/>
                <w:sz w:val="24"/>
                <w:szCs w:val="24"/>
              </w:rPr>
              <w:fldChar w:fldCharType="separate"/>
            </w:r>
            <w:r w:rsidR="003B2FD3">
              <w:rPr>
                <w:rFonts w:ascii="Tahoma" w:hAnsi="Tahoma" w:cs="Tahoma"/>
                <w:b/>
                <w:bCs/>
                <w:noProof/>
                <w:sz w:val="24"/>
                <w:szCs w:val="24"/>
              </w:rPr>
              <w:t>3</w:t>
            </w:r>
            <w:r w:rsidR="00C75D0C" w:rsidRPr="00C75D0C">
              <w:rPr>
                <w:rFonts w:ascii="Tahoma" w:hAnsi="Tahoma" w:cs="Tahoma"/>
                <w:b/>
                <w:bCs/>
                <w:sz w:val="24"/>
                <w:szCs w:val="24"/>
              </w:rPr>
              <w:fldChar w:fldCharType="end"/>
            </w:r>
            <w:r w:rsidR="00C75D0C" w:rsidRPr="00C75D0C">
              <w:rPr>
                <w:rFonts w:ascii="Tahoma" w:hAnsi="Tahoma" w:cs="Tahoma"/>
                <w:sz w:val="24"/>
                <w:szCs w:val="24"/>
              </w:rPr>
              <w:t xml:space="preserve"> of </w:t>
            </w:r>
            <w:r w:rsidR="00C75D0C" w:rsidRPr="00C75D0C">
              <w:rPr>
                <w:rFonts w:ascii="Tahoma" w:hAnsi="Tahoma" w:cs="Tahoma"/>
                <w:b/>
                <w:bCs/>
                <w:sz w:val="24"/>
                <w:szCs w:val="24"/>
              </w:rPr>
              <w:fldChar w:fldCharType="begin"/>
            </w:r>
            <w:r w:rsidR="00C75D0C" w:rsidRPr="00C75D0C">
              <w:rPr>
                <w:rFonts w:ascii="Tahoma" w:hAnsi="Tahoma" w:cs="Tahoma"/>
                <w:b/>
                <w:bCs/>
                <w:sz w:val="24"/>
                <w:szCs w:val="24"/>
              </w:rPr>
              <w:instrText xml:space="preserve"> NUMPAGES  </w:instrText>
            </w:r>
            <w:r w:rsidR="00C75D0C" w:rsidRPr="00C75D0C">
              <w:rPr>
                <w:rFonts w:ascii="Tahoma" w:hAnsi="Tahoma" w:cs="Tahoma"/>
                <w:b/>
                <w:bCs/>
                <w:sz w:val="24"/>
                <w:szCs w:val="24"/>
              </w:rPr>
              <w:fldChar w:fldCharType="separate"/>
            </w:r>
            <w:r w:rsidR="003B2FD3">
              <w:rPr>
                <w:rFonts w:ascii="Tahoma" w:hAnsi="Tahoma" w:cs="Tahoma"/>
                <w:b/>
                <w:bCs/>
                <w:noProof/>
                <w:sz w:val="24"/>
                <w:szCs w:val="24"/>
              </w:rPr>
              <w:t>3</w:t>
            </w:r>
            <w:r w:rsidR="00C75D0C" w:rsidRPr="00C75D0C">
              <w:rPr>
                <w:rFonts w:ascii="Tahoma" w:hAnsi="Tahoma" w:cs="Tahoma"/>
                <w:b/>
                <w:bCs/>
                <w:sz w:val="24"/>
                <w:szCs w:val="24"/>
              </w:rPr>
              <w:fldChar w:fldCharType="end"/>
            </w:r>
          </w:p>
        </w:sdtContent>
      </w:sdt>
    </w:sdtContent>
  </w:sdt>
  <w:p w:rsidR="00713142" w:rsidRPr="00C75D0C" w:rsidRDefault="00713142">
    <w:pPr>
      <w:pStyle w:val="Footer"/>
      <w:rPr>
        <w:rFonts w:ascii="Tahoma" w:hAnsi="Tahoma" w:cs="Tahoma"/>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8C" w:rsidRDefault="008E088C" w:rsidP="00713142">
      <w:pPr>
        <w:spacing w:after="0" w:line="240" w:lineRule="auto"/>
      </w:pPr>
      <w:r>
        <w:separator/>
      </w:r>
    </w:p>
  </w:footnote>
  <w:footnote w:type="continuationSeparator" w:id="0">
    <w:p w:rsidR="008E088C" w:rsidRDefault="008E088C" w:rsidP="00713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142" w:rsidRDefault="00713142" w:rsidP="00713142">
    <w:pPr>
      <w:pStyle w:val="Header"/>
      <w:jc w:val="center"/>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59264" behindDoc="0" locked="0" layoutInCell="1" allowOverlap="1">
              <wp:simplePos x="0" y="0"/>
              <wp:positionH relativeFrom="column">
                <wp:posOffset>-485776</wp:posOffset>
              </wp:positionH>
              <wp:positionV relativeFrom="paragraph">
                <wp:posOffset>-381000</wp:posOffset>
              </wp:positionV>
              <wp:extent cx="1419225" cy="1076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19225" cy="1076325"/>
                      </a:xfrm>
                      <a:prstGeom prst="rect">
                        <a:avLst/>
                      </a:prstGeom>
                      <a:solidFill>
                        <a:schemeClr val="lt1"/>
                      </a:solidFill>
                      <a:ln w="6350">
                        <a:solidFill>
                          <a:prstClr val="black"/>
                        </a:solidFill>
                      </a:ln>
                    </wps:spPr>
                    <wps:txbx>
                      <w:txbxContent>
                        <w:p w:rsidR="00713142" w:rsidRDefault="00350291">
                          <w:r>
                            <w:rPr>
                              <w:noProof/>
                            </w:rPr>
                            <w:drawing>
                              <wp:inline distT="0" distB="0" distL="0" distR="0" wp14:anchorId="61D0D802" wp14:editId="34B7C01D">
                                <wp:extent cx="1229995" cy="933450"/>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9995" cy="933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30pt;width:111.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" fillcolor="white [3201]" strokeweight=".5pt">
              <v:textbox>
                <w:txbxContent>
                  <w:p w:rsidR="00713142" w:rsidRDefault="00350291">
                    <w:r>
                      <w:rPr>
                        <w:noProof/>
                      </w:rPr>
                      <w:drawing>
                        <wp:inline distT="0" distB="0" distL="0" distR="0" wp14:anchorId="61D0D802" wp14:editId="34B7C01D">
                          <wp:extent cx="1229995" cy="933450"/>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229995" cy="933450"/>
                                  </a:xfrm>
                                  <a:prstGeom prst="rect">
                                    <a:avLst/>
                                  </a:prstGeom>
                                </pic:spPr>
                              </pic:pic>
                            </a:graphicData>
                          </a:graphic>
                        </wp:inline>
                      </w:drawing>
                    </w:r>
                  </w:p>
                </w:txbxContent>
              </v:textbox>
            </v:shape>
          </w:pict>
        </mc:Fallback>
      </mc:AlternateContent>
    </w:r>
    <w:r>
      <w:rPr>
        <w:rFonts w:ascii="Tahoma" w:hAnsi="Tahoma" w:cs="Tahoma"/>
        <w:sz w:val="28"/>
        <w:szCs w:val="28"/>
      </w:rPr>
      <w:t>Trouves Health Care</w:t>
    </w:r>
  </w:p>
  <w:p w:rsidR="00713142" w:rsidRDefault="00713142" w:rsidP="00713142">
    <w:pPr>
      <w:pStyle w:val="Header"/>
      <w:jc w:val="center"/>
      <w:rPr>
        <w:rFonts w:ascii="Tahoma" w:hAnsi="Tahoma" w:cs="Tahoma"/>
        <w:sz w:val="28"/>
        <w:szCs w:val="28"/>
        <w:u w:val="single"/>
      </w:rPr>
    </w:pPr>
  </w:p>
  <w:p w:rsidR="00713142" w:rsidRDefault="00713142" w:rsidP="00713142">
    <w:pPr>
      <w:pStyle w:val="Header"/>
      <w:jc w:val="center"/>
      <w:rPr>
        <w:rFonts w:ascii="Tahoma" w:hAnsi="Tahoma" w:cs="Tahoma"/>
        <w:sz w:val="28"/>
        <w:szCs w:val="28"/>
        <w:u w:val="single"/>
      </w:rPr>
    </w:pPr>
  </w:p>
  <w:p w:rsidR="00713142" w:rsidRDefault="00713142" w:rsidP="00713142">
    <w:pPr>
      <w:pStyle w:val="Header"/>
      <w:jc w:val="center"/>
      <w:rPr>
        <w:rFonts w:ascii="Tahoma" w:hAnsi="Tahoma" w:cs="Tahoma"/>
        <w:sz w:val="28"/>
        <w:szCs w:val="28"/>
        <w:u w:val="single"/>
      </w:rPr>
    </w:pPr>
  </w:p>
  <w:tbl>
    <w:tblPr>
      <w:tblStyle w:val="TableGrid"/>
      <w:tblW w:w="10620" w:type="dxa"/>
      <w:tblInd w:w="-725" w:type="dxa"/>
      <w:tblLook w:val="04A0" w:firstRow="1" w:lastRow="0" w:firstColumn="1" w:lastColumn="0" w:noHBand="0" w:noVBand="1"/>
    </w:tblPr>
    <w:tblGrid>
      <w:gridCol w:w="1890"/>
      <w:gridCol w:w="6390"/>
      <w:gridCol w:w="2340"/>
    </w:tblGrid>
    <w:tr w:rsidR="00713142" w:rsidRPr="00A5098A" w:rsidTr="00A5098A">
      <w:tc>
        <w:tcPr>
          <w:tcW w:w="1890" w:type="dxa"/>
        </w:tcPr>
        <w:p w:rsidR="00713142" w:rsidRPr="00A5098A" w:rsidRDefault="00A5098A" w:rsidP="00713142">
          <w:pPr>
            <w:pStyle w:val="Header"/>
            <w:jc w:val="center"/>
            <w:rPr>
              <w:rFonts w:ascii="Tahoma" w:hAnsi="Tahoma" w:cs="Tahoma"/>
              <w:sz w:val="28"/>
              <w:szCs w:val="28"/>
            </w:rPr>
          </w:pPr>
          <w:r w:rsidRPr="00A5098A">
            <w:rPr>
              <w:rFonts w:ascii="Tahoma" w:hAnsi="Tahoma" w:cs="Tahoma"/>
              <w:sz w:val="28"/>
              <w:szCs w:val="28"/>
            </w:rPr>
            <w:t>TITLE:</w:t>
          </w:r>
        </w:p>
      </w:tc>
      <w:tc>
        <w:tcPr>
          <w:tcW w:w="6390" w:type="dxa"/>
        </w:tcPr>
        <w:p w:rsidR="00713142" w:rsidRPr="00A5098A" w:rsidRDefault="00AC499B" w:rsidP="00713142">
          <w:pPr>
            <w:pStyle w:val="Header"/>
            <w:jc w:val="center"/>
            <w:rPr>
              <w:rFonts w:ascii="Tahoma" w:hAnsi="Tahoma" w:cs="Tahoma"/>
              <w:sz w:val="28"/>
              <w:szCs w:val="28"/>
            </w:rPr>
          </w:pPr>
          <w:r>
            <w:rPr>
              <w:rFonts w:ascii="Tahoma" w:hAnsi="Tahoma" w:cs="Tahoma"/>
              <w:sz w:val="28"/>
              <w:szCs w:val="28"/>
            </w:rPr>
            <w:t>EMERGENCY PREPAREDNESS</w:t>
          </w:r>
        </w:p>
      </w:tc>
      <w:tc>
        <w:tcPr>
          <w:tcW w:w="2340" w:type="dxa"/>
        </w:tcPr>
        <w:p w:rsidR="00713142" w:rsidRPr="00A5098A" w:rsidRDefault="003B2FD3" w:rsidP="00734C79">
          <w:pPr>
            <w:pStyle w:val="Header"/>
            <w:rPr>
              <w:rFonts w:ascii="Tahoma" w:hAnsi="Tahoma" w:cs="Tahoma"/>
              <w:sz w:val="28"/>
              <w:szCs w:val="28"/>
            </w:rPr>
          </w:pPr>
          <w:r>
            <w:rPr>
              <w:rFonts w:ascii="Tahoma" w:hAnsi="Tahoma" w:cs="Tahoma"/>
              <w:sz w:val="28"/>
              <w:szCs w:val="28"/>
            </w:rPr>
            <w:t>POLICY 24.01</w:t>
          </w:r>
        </w:p>
      </w:tc>
    </w:tr>
  </w:tbl>
  <w:p w:rsidR="00713142" w:rsidRPr="00A5098A" w:rsidRDefault="00713142" w:rsidP="00713142">
    <w:pPr>
      <w:pStyle w:val="Header"/>
      <w:jc w:val="center"/>
      <w:rPr>
        <w:rFonts w:ascii="Tahoma" w:hAnsi="Tahoma" w:cs="Tahoma"/>
        <w:sz w:val="28"/>
        <w:szCs w:val="28"/>
      </w:rPr>
    </w:pPr>
  </w:p>
  <w:p w:rsidR="00713142" w:rsidRPr="00713142" w:rsidRDefault="00713142" w:rsidP="00713142">
    <w:pPr>
      <w:pStyle w:val="Header"/>
      <w:jc w:val="center"/>
      <w:rPr>
        <w:rFonts w:ascii="Tahoma" w:hAnsi="Tahoma" w:cs="Tahoma"/>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60A8"/>
    <w:multiLevelType w:val="hybridMultilevel"/>
    <w:tmpl w:val="AC62D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76BF3"/>
    <w:multiLevelType w:val="hybridMultilevel"/>
    <w:tmpl w:val="8490235C"/>
    <w:lvl w:ilvl="0" w:tplc="ED92C29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9176A4"/>
    <w:multiLevelType w:val="hybridMultilevel"/>
    <w:tmpl w:val="B7D861C0"/>
    <w:lvl w:ilvl="0" w:tplc="73E6A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51F72"/>
    <w:multiLevelType w:val="hybridMultilevel"/>
    <w:tmpl w:val="0590B8F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4A2755F"/>
    <w:multiLevelType w:val="hybridMultilevel"/>
    <w:tmpl w:val="FD2E816C"/>
    <w:lvl w:ilvl="0" w:tplc="FD72A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5B4EB6"/>
    <w:multiLevelType w:val="hybridMultilevel"/>
    <w:tmpl w:val="A21EE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6569D5"/>
    <w:multiLevelType w:val="hybridMultilevel"/>
    <w:tmpl w:val="95BA93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81AB2"/>
    <w:multiLevelType w:val="hybridMultilevel"/>
    <w:tmpl w:val="01B4AA28"/>
    <w:lvl w:ilvl="0" w:tplc="A724B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21577F"/>
    <w:multiLevelType w:val="hybridMultilevel"/>
    <w:tmpl w:val="C6D0B166"/>
    <w:lvl w:ilvl="0" w:tplc="8AB2713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94777E7"/>
    <w:multiLevelType w:val="hybridMultilevel"/>
    <w:tmpl w:val="26BA089E"/>
    <w:lvl w:ilvl="0" w:tplc="05E6A0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4"/>
  </w:num>
  <w:num w:numId="5">
    <w:abstractNumId w:val="7"/>
  </w:num>
  <w:num w:numId="6">
    <w:abstractNumId w:val="2"/>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42"/>
    <w:rsid w:val="00073076"/>
    <w:rsid w:val="001759B4"/>
    <w:rsid w:val="001C75DC"/>
    <w:rsid w:val="002944E3"/>
    <w:rsid w:val="002A0435"/>
    <w:rsid w:val="002B04F8"/>
    <w:rsid w:val="002C4A34"/>
    <w:rsid w:val="003072B2"/>
    <w:rsid w:val="00350291"/>
    <w:rsid w:val="0037772A"/>
    <w:rsid w:val="003B2FD3"/>
    <w:rsid w:val="00452517"/>
    <w:rsid w:val="00471D8E"/>
    <w:rsid w:val="004B28B5"/>
    <w:rsid w:val="004C5083"/>
    <w:rsid w:val="00526165"/>
    <w:rsid w:val="005534B3"/>
    <w:rsid w:val="0057466E"/>
    <w:rsid w:val="006353CA"/>
    <w:rsid w:val="006D6320"/>
    <w:rsid w:val="00713142"/>
    <w:rsid w:val="00734C79"/>
    <w:rsid w:val="007E57A3"/>
    <w:rsid w:val="008E088C"/>
    <w:rsid w:val="00916012"/>
    <w:rsid w:val="00A36616"/>
    <w:rsid w:val="00A5098A"/>
    <w:rsid w:val="00AC499B"/>
    <w:rsid w:val="00B273B4"/>
    <w:rsid w:val="00C75D0C"/>
    <w:rsid w:val="00CA562A"/>
    <w:rsid w:val="00D01BF4"/>
    <w:rsid w:val="00D615C1"/>
    <w:rsid w:val="00E672A0"/>
    <w:rsid w:val="00EB71BF"/>
    <w:rsid w:val="00FA1B24"/>
    <w:rsid w:val="00FA2138"/>
    <w:rsid w:val="00FE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A758"/>
  <w15:chartTrackingRefBased/>
  <w15:docId w15:val="{C2C969C4-107B-46B2-8827-679D02D2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142"/>
  </w:style>
  <w:style w:type="paragraph" w:styleId="Footer">
    <w:name w:val="footer"/>
    <w:basedOn w:val="Normal"/>
    <w:link w:val="FooterChar"/>
    <w:uiPriority w:val="99"/>
    <w:unhideWhenUsed/>
    <w:rsid w:val="00713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142"/>
  </w:style>
  <w:style w:type="table" w:styleId="TableGrid">
    <w:name w:val="Table Grid"/>
    <w:basedOn w:val="TableNormal"/>
    <w:uiPriority w:val="39"/>
    <w:rsid w:val="0071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72A"/>
    <w:pPr>
      <w:ind w:left="720"/>
      <w:contextualSpacing/>
    </w:pPr>
  </w:style>
  <w:style w:type="character" w:styleId="Hyperlink">
    <w:name w:val="Hyperlink"/>
    <w:basedOn w:val="DefaultParagraphFont"/>
    <w:uiPriority w:val="99"/>
    <w:unhideWhenUsed/>
    <w:rsid w:val="00EB7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6263">
      <w:bodyDiv w:val="1"/>
      <w:marLeft w:val="0"/>
      <w:marRight w:val="0"/>
      <w:marTop w:val="0"/>
      <w:marBottom w:val="0"/>
      <w:divBdr>
        <w:top w:val="none" w:sz="0" w:space="0" w:color="auto"/>
        <w:left w:val="none" w:sz="0" w:space="0" w:color="auto"/>
        <w:bottom w:val="none" w:sz="0" w:space="0" w:color="auto"/>
        <w:right w:val="none" w:sz="0" w:space="0" w:color="auto"/>
      </w:divBdr>
    </w:div>
    <w:div w:id="70933052">
      <w:bodyDiv w:val="1"/>
      <w:marLeft w:val="0"/>
      <w:marRight w:val="0"/>
      <w:marTop w:val="0"/>
      <w:marBottom w:val="0"/>
      <w:divBdr>
        <w:top w:val="none" w:sz="0" w:space="0" w:color="auto"/>
        <w:left w:val="none" w:sz="0" w:space="0" w:color="auto"/>
        <w:bottom w:val="none" w:sz="0" w:space="0" w:color="auto"/>
        <w:right w:val="none" w:sz="0" w:space="0" w:color="auto"/>
      </w:divBdr>
      <w:divsChild>
        <w:div w:id="2021470566">
          <w:marLeft w:val="0"/>
          <w:marRight w:val="0"/>
          <w:marTop w:val="0"/>
          <w:marBottom w:val="0"/>
          <w:divBdr>
            <w:top w:val="none" w:sz="0" w:space="0" w:color="auto"/>
            <w:left w:val="none" w:sz="0" w:space="0" w:color="auto"/>
            <w:bottom w:val="none" w:sz="0" w:space="0" w:color="auto"/>
            <w:right w:val="none" w:sz="0" w:space="0" w:color="auto"/>
          </w:divBdr>
        </w:div>
        <w:div w:id="689336380">
          <w:marLeft w:val="0"/>
          <w:marRight w:val="0"/>
          <w:marTop w:val="0"/>
          <w:marBottom w:val="0"/>
          <w:divBdr>
            <w:top w:val="none" w:sz="0" w:space="0" w:color="auto"/>
            <w:left w:val="none" w:sz="0" w:space="0" w:color="auto"/>
            <w:bottom w:val="none" w:sz="0" w:space="0" w:color="auto"/>
            <w:right w:val="none" w:sz="0" w:space="0" w:color="auto"/>
          </w:divBdr>
        </w:div>
        <w:div w:id="1191845420">
          <w:marLeft w:val="0"/>
          <w:marRight w:val="0"/>
          <w:marTop w:val="0"/>
          <w:marBottom w:val="0"/>
          <w:divBdr>
            <w:top w:val="none" w:sz="0" w:space="0" w:color="auto"/>
            <w:left w:val="none" w:sz="0" w:space="0" w:color="auto"/>
            <w:bottom w:val="none" w:sz="0" w:space="0" w:color="auto"/>
            <w:right w:val="none" w:sz="0" w:space="0" w:color="auto"/>
          </w:divBdr>
        </w:div>
      </w:divsChild>
    </w:div>
    <w:div w:id="874007574">
      <w:bodyDiv w:val="1"/>
      <w:marLeft w:val="0"/>
      <w:marRight w:val="0"/>
      <w:marTop w:val="0"/>
      <w:marBottom w:val="0"/>
      <w:divBdr>
        <w:top w:val="none" w:sz="0" w:space="0" w:color="auto"/>
        <w:left w:val="none" w:sz="0" w:space="0" w:color="auto"/>
        <w:bottom w:val="none" w:sz="0" w:space="0" w:color="auto"/>
        <w:right w:val="none" w:sz="0" w:space="0" w:color="auto"/>
      </w:divBdr>
      <w:divsChild>
        <w:div w:id="281805963">
          <w:marLeft w:val="0"/>
          <w:marRight w:val="0"/>
          <w:marTop w:val="0"/>
          <w:marBottom w:val="0"/>
          <w:divBdr>
            <w:top w:val="none" w:sz="0" w:space="0" w:color="auto"/>
            <w:left w:val="none" w:sz="0" w:space="0" w:color="auto"/>
            <w:bottom w:val="none" w:sz="0" w:space="0" w:color="auto"/>
            <w:right w:val="none" w:sz="0" w:space="0" w:color="auto"/>
          </w:divBdr>
        </w:div>
        <w:div w:id="1324774921">
          <w:marLeft w:val="0"/>
          <w:marRight w:val="0"/>
          <w:marTop w:val="0"/>
          <w:marBottom w:val="0"/>
          <w:divBdr>
            <w:top w:val="none" w:sz="0" w:space="0" w:color="auto"/>
            <w:left w:val="none" w:sz="0" w:space="0" w:color="auto"/>
            <w:bottom w:val="none" w:sz="0" w:space="0" w:color="auto"/>
            <w:right w:val="none" w:sz="0" w:space="0" w:color="auto"/>
          </w:divBdr>
        </w:div>
        <w:div w:id="1751611111">
          <w:marLeft w:val="0"/>
          <w:marRight w:val="0"/>
          <w:marTop w:val="0"/>
          <w:marBottom w:val="0"/>
          <w:divBdr>
            <w:top w:val="none" w:sz="0" w:space="0" w:color="auto"/>
            <w:left w:val="none" w:sz="0" w:space="0" w:color="auto"/>
            <w:bottom w:val="none" w:sz="0" w:space="0" w:color="auto"/>
            <w:right w:val="none" w:sz="0" w:space="0" w:color="auto"/>
          </w:divBdr>
        </w:div>
        <w:div w:id="657224242">
          <w:marLeft w:val="0"/>
          <w:marRight w:val="0"/>
          <w:marTop w:val="0"/>
          <w:marBottom w:val="0"/>
          <w:divBdr>
            <w:top w:val="none" w:sz="0" w:space="0" w:color="auto"/>
            <w:left w:val="none" w:sz="0" w:space="0" w:color="auto"/>
            <w:bottom w:val="none" w:sz="0" w:space="0" w:color="auto"/>
            <w:right w:val="none" w:sz="0" w:space="0" w:color="auto"/>
          </w:divBdr>
        </w:div>
        <w:div w:id="2138835334">
          <w:marLeft w:val="0"/>
          <w:marRight w:val="0"/>
          <w:marTop w:val="0"/>
          <w:marBottom w:val="0"/>
          <w:divBdr>
            <w:top w:val="none" w:sz="0" w:space="0" w:color="auto"/>
            <w:left w:val="none" w:sz="0" w:space="0" w:color="auto"/>
            <w:bottom w:val="none" w:sz="0" w:space="0" w:color="auto"/>
            <w:right w:val="none" w:sz="0" w:space="0" w:color="auto"/>
          </w:divBdr>
        </w:div>
        <w:div w:id="1710834244">
          <w:marLeft w:val="0"/>
          <w:marRight w:val="0"/>
          <w:marTop w:val="0"/>
          <w:marBottom w:val="0"/>
          <w:divBdr>
            <w:top w:val="none" w:sz="0" w:space="0" w:color="auto"/>
            <w:left w:val="none" w:sz="0" w:space="0" w:color="auto"/>
            <w:bottom w:val="none" w:sz="0" w:space="0" w:color="auto"/>
            <w:right w:val="none" w:sz="0" w:space="0" w:color="auto"/>
          </w:divBdr>
        </w:div>
        <w:div w:id="1314675770">
          <w:marLeft w:val="0"/>
          <w:marRight w:val="0"/>
          <w:marTop w:val="0"/>
          <w:marBottom w:val="0"/>
          <w:divBdr>
            <w:top w:val="none" w:sz="0" w:space="0" w:color="auto"/>
            <w:left w:val="none" w:sz="0" w:space="0" w:color="auto"/>
            <w:bottom w:val="none" w:sz="0" w:space="0" w:color="auto"/>
            <w:right w:val="none" w:sz="0" w:space="0" w:color="auto"/>
          </w:divBdr>
        </w:div>
        <w:div w:id="92642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s.leg.wa.gov/WAC/default.aspx?cite=388-78A-2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Trouves Health Care</dc:creator>
  <cp:keywords/>
  <dc:description/>
  <cp:lastModifiedBy>Melissa Green</cp:lastModifiedBy>
  <cp:revision>2</cp:revision>
  <dcterms:created xsi:type="dcterms:W3CDTF">2020-09-04T19:30:00Z</dcterms:created>
  <dcterms:modified xsi:type="dcterms:W3CDTF">2020-09-04T19:30:00Z</dcterms:modified>
</cp:coreProperties>
</file>